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Calibri" w:cs="Calibri"/>
        </w:rPr>
        <w:t xml:space="preserve"> </w:t>
      </w:r>
      <w:r>
        <w:rPr>
          <w:rFonts w:eastAsia="Bookman Old Style" w:cs="Bookman Old Style" w:ascii="Bookman Old Style" w:hAnsi="Bookman Old Style"/>
        </w:rPr>
        <w:t xml:space="preserve"> </w:t>
      </w:r>
      <w:r>
        <w:rPr>
          <w:rFonts w:cs="Bookman Old Style" w:ascii="Bookman Old Style" w:hAnsi="Bookman Old Style"/>
          <w:b/>
          <w:sz w:val="40"/>
          <w:szCs w:val="40"/>
        </w:rPr>
        <w:t>ООО «Агропартнер»</w:t>
      </w:r>
    </w:p>
    <w:tbl>
      <w:tblPr>
        <w:tblW w:w="1004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928"/>
        <w:gridCol w:w="5112"/>
      </w:tblGrid>
      <w:tr>
        <w:trPr>
          <w:trHeight w:val="815" w:hRule="atLeast"/>
        </w:trPr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man Old Style" w:hAnsi="Bookman Old Style" w:cs="Bookman Old Style"/>
                <w:szCs w:val="18"/>
              </w:rPr>
            </w:pPr>
            <w:r>
              <w:rPr>
                <w:rFonts w:cs="Bookman Old Style" w:ascii="Bookman Old Style" w:hAnsi="Bookman Old Style"/>
                <w:szCs w:val="18"/>
              </w:rPr>
              <w:t xml:space="preserve">ИНН 1327031753  КПП 132701001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Bookman Old Style" w:ascii="Bookman Old Style" w:hAnsi="Bookman Old Style"/>
                <w:szCs w:val="18"/>
              </w:rPr>
              <w:t xml:space="preserve">Р/с 40702810339000003176 Мордовское </w:t>
            </w:r>
            <w:r>
              <w:rPr>
                <w:rFonts w:cs="Bookman Old Style" w:ascii="Bookman Old Style" w:hAnsi="Bookman Old Style"/>
              </w:rPr>
              <w:t>отделение № 8589 Сбербанка России,</w:t>
            </w:r>
          </w:p>
          <w:p>
            <w:pPr>
              <w:pStyle w:val="Normal"/>
              <w:spacing w:lineRule="auto" w:line="240" w:before="0" w:after="0"/>
              <w:rPr>
                <w:rFonts w:ascii="Bookman Old Style" w:hAnsi="Bookman Old Style" w:cs="Bookman Old Style"/>
              </w:rPr>
            </w:pPr>
            <w:r>
              <w:rPr>
                <w:rFonts w:cs="Bookman Old Style" w:ascii="Bookman Old Style" w:hAnsi="Bookman Old Style"/>
              </w:rPr>
              <w:t xml:space="preserve">г Саранск </w:t>
            </w:r>
          </w:p>
          <w:p>
            <w:pPr>
              <w:pStyle w:val="Normal"/>
              <w:spacing w:lineRule="auto" w:line="240" w:before="0" w:after="0"/>
              <w:rPr>
                <w:rFonts w:ascii="Bookman Old Style" w:hAnsi="Bookman Old Style" w:cs="Bookman Old Style"/>
              </w:rPr>
            </w:pPr>
            <w:r>
              <w:rPr>
                <w:rFonts w:cs="Bookman Old Style" w:ascii="Bookman Old Style" w:hAnsi="Bookman Old Style"/>
              </w:rPr>
              <w:t xml:space="preserve">К/с 30101810100000000615,  </w:t>
            </w:r>
          </w:p>
          <w:p>
            <w:pPr>
              <w:pStyle w:val="Normal"/>
              <w:spacing w:lineRule="auto" w:line="240" w:before="0" w:after="0"/>
              <w:rPr>
                <w:rFonts w:ascii="Bookman Old Style" w:hAnsi="Bookman Old Style" w:cs="Bookman Old Style"/>
              </w:rPr>
            </w:pPr>
            <w:r>
              <w:rPr>
                <w:rFonts w:cs="Bookman Old Style" w:ascii="Bookman Old Style" w:hAnsi="Bookman Old Style"/>
              </w:rPr>
              <w:t>БИК 048952615</w:t>
            </w:r>
          </w:p>
        </w:tc>
        <w:tc>
          <w:tcPr>
            <w:tcW w:w="5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152" w:hanging="0"/>
              <w:rPr>
                <w:rFonts w:ascii="Bookman Old Style" w:hAnsi="Bookman Old Style" w:cs="Bookman Old Style"/>
                <w:szCs w:val="18"/>
              </w:rPr>
            </w:pPr>
            <w:r>
              <w:rPr>
                <w:rFonts w:cs="Bookman Old Style" w:ascii="Bookman Old Style" w:hAnsi="Bookman Old Style"/>
                <w:szCs w:val="18"/>
              </w:rPr>
              <w:t>430030, г. Саранск, ул Васенко, 13, оф. 204.</w:t>
            </w:r>
          </w:p>
          <w:p>
            <w:pPr>
              <w:pStyle w:val="Normal"/>
              <w:spacing w:lineRule="auto" w:line="240" w:before="0" w:after="0"/>
              <w:ind w:left="0" w:right="305" w:hanging="0"/>
              <w:jc w:val="both"/>
              <w:rPr/>
            </w:pPr>
            <w:r>
              <w:rPr>
                <w:rFonts w:cs="Bookman Old Style" w:ascii="Bookman Old Style" w:hAnsi="Bookman Old Style"/>
                <w:szCs w:val="18"/>
              </w:rPr>
              <w:t>Тел</w:t>
            </w:r>
            <w:r>
              <w:rPr>
                <w:rFonts w:cs="Bookman Old Style" w:ascii="Bookman Old Style" w:hAnsi="Bookman Old Style"/>
                <w:szCs w:val="18"/>
                <w:lang w:val="en-US"/>
              </w:rPr>
              <w:t>.</w:t>
            </w:r>
            <w:r>
              <w:rPr>
                <w:rFonts w:cs="Bookman Old Style" w:ascii="Bookman Old Style" w:hAnsi="Bookman Old Style"/>
                <w:szCs w:val="18"/>
              </w:rPr>
              <w:t>факс</w:t>
            </w:r>
            <w:r>
              <w:rPr>
                <w:rFonts w:cs="Bookman Old Style" w:ascii="Bookman Old Style" w:hAnsi="Bookman Old Style"/>
                <w:szCs w:val="18"/>
                <w:lang w:val="en-US"/>
              </w:rPr>
              <w:t xml:space="preserve">: 8(8342) 222-582 </w:t>
            </w:r>
          </w:p>
          <w:p>
            <w:pPr>
              <w:pStyle w:val="Normal"/>
              <w:spacing w:lineRule="auto" w:line="240" w:before="0" w:after="0"/>
              <w:ind w:left="0" w:right="305" w:hanging="0"/>
              <w:jc w:val="both"/>
              <w:rPr/>
            </w:pPr>
            <w:r>
              <w:rPr>
                <w:rFonts w:cs="Bookman Old Style" w:ascii="Bookman Old Style" w:hAnsi="Bookman Old Style"/>
                <w:szCs w:val="18"/>
                <w:lang w:val="en-US"/>
              </w:rPr>
              <w:t xml:space="preserve">e-mail: </w:t>
            </w:r>
            <w:hyperlink r:id="rId2">
              <w:r>
                <w:rPr>
                  <w:rStyle w:val="Style14"/>
                  <w:rFonts w:cs="Bookman Old Style" w:ascii="Bookman Old Style" w:hAnsi="Bookman Old Style"/>
                  <w:szCs w:val="18"/>
                  <w:lang w:val="en-US"/>
                </w:rPr>
                <w:t>Agrovector@inbox.ru</w:t>
              </w:r>
            </w:hyperlink>
          </w:p>
          <w:p>
            <w:pPr>
              <w:pStyle w:val="Normal"/>
              <w:spacing w:lineRule="auto" w:line="240" w:before="0" w:after="0"/>
              <w:ind w:left="0" w:right="305" w:hanging="0"/>
              <w:jc w:val="both"/>
              <w:rPr/>
            </w:pPr>
            <w:r>
              <w:rPr>
                <w:rFonts w:cs="Bookman Old Style" w:ascii="Bookman Old Style" w:hAnsi="Bookman Old Style"/>
              </w:rPr>
              <w:t xml:space="preserve">сайт:    </w:t>
            </w:r>
            <w:r>
              <w:rPr>
                <w:rStyle w:val="Style15"/>
                <w:rFonts w:cs="Bookman Old Style" w:ascii="Bookman Old Style" w:hAnsi="Bookman Old Style"/>
                <w:lang w:val="en-US"/>
              </w:rPr>
              <w:t>www</w:t>
            </w:r>
            <w:r>
              <w:rPr>
                <w:rStyle w:val="Style15"/>
                <w:rFonts w:cs="Bookman Old Style" w:ascii="Bookman Old Style" w:hAnsi="Bookman Old Style"/>
              </w:rPr>
              <w:t>.агровектор.рф</w:t>
            </w:r>
          </w:p>
          <w:p>
            <w:pPr>
              <w:pStyle w:val="Normal"/>
              <w:spacing w:lineRule="auto" w:line="240" w:before="0" w:after="0"/>
              <w:ind w:left="0" w:right="305" w:hanging="0"/>
              <w:jc w:val="both"/>
              <w:rPr>
                <w:rFonts w:ascii="Bookman Old Style" w:hAnsi="Bookman Old Style" w:cs="Bookman Old Style"/>
                <w:szCs w:val="18"/>
              </w:rPr>
            </w:pPr>
            <w:r>
              <w:rPr>
                <w:rFonts w:cs="Bookman Old Style" w:ascii="Bookman Old Style" w:hAnsi="Bookman Old Style"/>
                <w:szCs w:val="18"/>
              </w:rPr>
              <w:t>сот. 8-927-640-4267</w:t>
            </w:r>
          </w:p>
          <w:p>
            <w:pPr>
              <w:pStyle w:val="Normal"/>
              <w:spacing w:lineRule="auto" w:line="240" w:before="0" w:after="0"/>
              <w:ind w:left="0" w:right="0" w:firstLine="571"/>
              <w:rPr>
                <w:rFonts w:ascii="Bookman Old Style" w:hAnsi="Bookman Old Style" w:cs="Bookman Old Style"/>
                <w:szCs w:val="18"/>
              </w:rPr>
            </w:pPr>
            <w:r>
              <w:rPr>
                <w:rFonts w:cs="Bookman Old Style" w:ascii="Bookman Old Style" w:hAnsi="Bookman Old Style"/>
                <w:szCs w:val="18"/>
              </w:rPr>
            </w:r>
          </w:p>
        </w:tc>
      </w:tr>
    </w:tbl>
    <w:tbl>
      <w:tblPr>
        <w:tblW w:w="10032" w:type="dxa"/>
        <w:jc w:val="left"/>
        <w:tblInd w:w="38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20"/>
        <w:gridCol w:w="5112"/>
      </w:tblGrid>
      <w:tr>
        <w:trPr>
          <w:trHeight w:val="538" w:hRule="atLeast"/>
        </w:trPr>
        <w:tc>
          <w:tcPr>
            <w:tcW w:w="492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Bookman Old Style" w:hAnsi="Bookman Old Style"/>
                <w:b/>
              </w:rPr>
              <w:t>01</w:t>
            </w:r>
            <w:r>
              <w:rPr>
                <w:rFonts w:cs="Arial" w:ascii="Bookman Old Style" w:hAnsi="Bookman Old Style"/>
                <w:b/>
              </w:rPr>
              <w:t>.</w:t>
            </w:r>
            <w:r>
              <w:rPr>
                <w:rFonts w:cs="Arial" w:ascii="Bookman Old Style" w:hAnsi="Bookman Old Style"/>
                <w:b/>
              </w:rPr>
              <w:t>11</w:t>
            </w:r>
            <w:r>
              <w:rPr>
                <w:rFonts w:cs="Arial" w:ascii="Bookman Old Style" w:hAnsi="Bookman Old Style"/>
                <w:b/>
              </w:rPr>
              <w:t>.201</w:t>
            </w:r>
            <w:r>
              <w:rPr>
                <w:rFonts w:cs="Arial" w:ascii="Bookman Old Style" w:hAnsi="Bookman Old Style"/>
                <w:b/>
              </w:rPr>
              <w:t>8</w:t>
            </w:r>
            <w:r>
              <w:rPr>
                <w:rFonts w:cs="Arial" w:ascii="Bookman Old Style" w:hAnsi="Bookman Old Style"/>
                <w:b/>
              </w:rPr>
              <w:t>г</w:t>
            </w:r>
          </w:p>
        </w:tc>
        <w:tc>
          <w:tcPr>
            <w:tcW w:w="511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man Old Style" w:hAnsi="Bookman Old Style" w:cs="Arial"/>
                <w:b/>
                <w:b/>
                <w:szCs w:val="20"/>
              </w:rPr>
            </w:pPr>
            <w:r>
              <w:rPr>
                <w:rFonts w:cs="Arial" w:ascii="Bookman Old Style" w:hAnsi="Bookman Old Style"/>
                <w:b/>
              </w:rPr>
              <w:t>Вниманию Руководителя, гл. агронома</w:t>
            </w:r>
          </w:p>
          <w:p>
            <w:pPr>
              <w:pStyle w:val="Normal"/>
              <w:spacing w:lineRule="auto" w:line="240" w:before="0" w:after="0"/>
              <w:rPr>
                <w:rFonts w:ascii="Bookman Old Style" w:hAnsi="Bookman Old Style" w:cs="Arial"/>
                <w:b/>
                <w:b/>
                <w:szCs w:val="20"/>
              </w:rPr>
            </w:pPr>
            <w:r>
              <w:rPr>
                <w:rFonts w:cs="Arial" w:ascii="Bookman Old Style" w:hAnsi="Bookman Old Style"/>
                <w:b/>
                <w:szCs w:val="20"/>
              </w:rPr>
            </w:r>
          </w:p>
        </w:tc>
      </w:tr>
    </w:tbl>
    <w:p>
      <w:pPr>
        <w:pStyle w:val="NormalWeb"/>
        <w:ind w:firstLine="709"/>
        <w:rPr/>
      </w:pPr>
      <w:r>
        <w:rPr>
          <w:rStyle w:val="Color3"/>
          <w:rFonts w:cs="Arial" w:ascii="Bookman Old Style" w:hAnsi="Bookman Old Style"/>
          <w:b/>
          <w:bCs/>
        </w:rPr>
        <w:t>Обработка семян  Альбитом и Лигногуматом - первый важный шаг к увеличению урожайности.</w:t>
      </w:r>
      <w:r>
        <w:rPr>
          <w:rStyle w:val="Color3"/>
          <w:rFonts w:cs="Arial" w:ascii="Arial" w:hAnsi="Arial"/>
          <w:b/>
          <w:bCs/>
        </w:rPr>
        <w:t>​​​​​​​​​​​​​​​​​​​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 xml:space="preserve">    На протяжении жизненного цикла растение периодически находится под воздействием стрессовых факторов, которые негативно сказываются на урожайности и качестве продукции. Именно по этим причинам растение может реализовать не более 30% своего биологического потенциала. Обработка семян является первым и важным шагом в современной технологии реализации максимального потенциала культуры и повышении урожайности. Растение, как и любой живой организм, особенно уязвимо в начале развития. Тем более, множество самых опасных заболеваний переносится именно через посевной материал. Как только семена попадают в почву, они оказываются в среде, которая может быть благоприятной, но чаще всего далеко не оптимальной, изобилующей многими отрицательными для развития факторами: </w:t>
      </w:r>
      <w:r>
        <w:rPr>
          <w:rStyle w:val="Font7"/>
          <w:rFonts w:cs="Arial" w:ascii="Bookman Old Style" w:hAnsi="Bookman Old Style"/>
          <w:u w:val="single"/>
        </w:rPr>
        <w:t xml:space="preserve">засуха, низкая влажность почвы, чрезмерное увлажнение в период сева, дефицит питания, экстремальные температуры, выделения патогенных микроорганизмов, повреждения вредителями. </w:t>
      </w:r>
      <w:r>
        <w:rPr>
          <w:rStyle w:val="Font7"/>
          <w:rFonts w:cs="Arial" w:ascii="Bookman Old Style" w:hAnsi="Bookman Old Style"/>
        </w:rPr>
        <w:t>На преодоление стресса растение тратит колоссальные силы и энергию, выделяя при этом активные формы кислорода, которые не позволяют семени в полном объеме использовать весь генетический потенциал, заложенный природой и, как следствие, задерживают всходы, а иногда вызывают гибель проростка. Максимальная реализация генетического потенциала семени падает пропорционально коэффициенту стресса и эта потеря уже не компенсируется в сезон вегетации, несмотря на лучшие условия более поздних периодов развития.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КАЧЕСТВЕННАЯ ПРЕДПОСЕВНАЯ ПОДГОТОВКА СЕМЯН - ЗАЛОГ РЕАЛИЗАЦИИ ГЕНЕТИЧЕСКОГО ПОТЕНЦИАЛА РАСТЕНИЯ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Обработка семян уже давно воспринимается как необходимость, данность. Однако, как повысить эффект от этого, без преувеличения, важного мероприятия? Чтобы обезопасить семя от стрессов, улучшить условия роста и развития, в баковую смесь с протравителем целесообразно вносить стимулирующие вещества.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Мы предлагаем Альбит и Лигногумат - два надежных помощника растениям в борьбе со стрессом. Это одни из лучших препаратов на мировом рынке стимуляторов и антистрессантов.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Альбит и Лигногумат - препараты разного происхождения и оказывают на семена многоплановое действие.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Лигногумат - с помощью сбалансированного количества солей фульвовых и гуминовых кислот, серы и стандартного набора микроэлементов включает маркерные механизмы, благодаря которым семя идентифицирует условия среды, как благоприятные, обогащает семя энергией и может служить строительным материалом.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  Альбит - с помощью действующего вещества, выделенного из почвенных бактерий, сбалансиро-ванного набора макроэлементов и терпеновой кислоты хвойного экстракта включает механизмы иммунизации.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РОЛЬ ЛИГНОГУМАТА И АЛЬБИТА В ПРЕДПОСЕВНОЙ ОБРАБОТКЕ СЕМЯН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Лигногумат покрывает поверхность семени тонкой пленкой, не проникая при этом внутрь. Его действие начинается лишь после высева семян в грунт, когда, попадая в почвенный раствор, пленка растворяется, образуя вокруг семени стимулирующую концентрацию.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Лигногумат всасывается семенем при набухании и появлении проростка, стимулирует процесс развития точек роста и корней.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  Альбит с помощью действующего вещества, выделенного из почвенных бактерий, включает механизмы иммунизации, является «прививкой» на первых этапах роста растения и производит опережающую иммунизацию растения против почвенной и аэрогенной инфекции, позволяет защитить от корневых  гнилей, септориоза, гельминтоспориоза, бурой ржавчины, мучнистой росы и других болезней и стрессов.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ЛИГНОГУМАТ И АЛЬБИТ ЗАКЛАДЫВАЮТ ОСНОВУ БУДУЩЕГО УРОЖАЯ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способствуют утилизации веществ, ингибирующих прорастание семян;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повышают всхожесть и энергию прорастания семян до 50%;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стимулируют запуск ростовых процессов растения, начальный рост корневой системы и наземной биомассы;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формируют мощную, развитую корневую систему, а отсутствие развитой корневой системы - это до 50% недобора урожая;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стимулируют вегетативный рост и ускоряют прохождение фенофаз;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усиливают кущение растений и,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благодаря повышенной энергии прорастания, позволяют получить ранние и дружные всходы;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помогают заложить большее число продуктивных стеблей;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усиливают устойчивость к заморозкам и выпреванию, улучшают условия зимовки;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позволяют более интенсивно использовать элементы минерального питания и микроэлементы из почвы и удобрении;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увеличивают устойчивость растений к засухе и другим стрессам;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иммунизируют растения от корневых гнилей, снежной плесени, белой и серой гнили, корнееда сахарной свеклы и других болезней;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усиливают восстановительную активность тканей и повышают иммунитет растений;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запускают процессы обмена веществ в зерновке;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регулируют гормональный баланс (ауксиновая активность);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способствуют развитию первичных корней и вторичному их отрастанию в случае возникновения стрессовой ситуации;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снижают расходы на химические протравители (за счет снижения норм применения);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усиливают активность полезных почвенных микроорганизмов;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понижают количество микотоксинов в урожае;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• повышают урожайность и снижают накопление нитратов в овощах и фруктах.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Обработка семян Альбитом и Лигногуматом  имеет определяющую роль в урожайности всех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культур.</w:t>
      </w:r>
    </w:p>
    <w:p>
      <w:pPr>
        <w:pStyle w:val="NormalWeb"/>
        <w:spacing w:before="280" w:after="280"/>
        <w:ind w:firstLine="709"/>
        <w:rPr/>
      </w:pPr>
      <w:r>
        <w:rPr>
          <w:rStyle w:val="Font7"/>
          <w:rFonts w:cs="Arial" w:ascii="Bookman Old Style" w:hAnsi="Bookman Old Style"/>
        </w:rPr>
        <w:t>ЗЕРНОВЫЕ КОЛОСОВЫЕ КУЛЬТУРЫ: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Отмечена высокая отзывчивость зерновых культур на предпосевную обработку семян Лигногуматом и Альбитом увеличением урожайности в среднем на 5,4 ц/га. Корневая система зерновых, обработанных Альбитом и Лигногуматом с химическим фунгицидом, в 1,3-1,5 раза больше чем у растений, обработанных только химическим фунгицидом. В системе из двух внекорневых подкормок и обработки семян, последняя может давать до 40% общей прибавки урожая.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ПОДСОЛНЕЧНИК: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Предпосевная обработка семян имеет определяющее значение для этой культуры, а последующие обработки посевов могут усилить и дополнить её эффект.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Альбит иммунизирует растения против фомоза (67%) , стеблевой формы белой (55,8%) и серой гнили (66,3%) и, частично, фомопсиса.  Лигногумат обеспечивает мощный стимулирующий эффект, обогащает семена энергией, усиливает развитие корневой системы.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Альбит с Лигногуматом повышают всхожесть семян на 7-15%, ускоряют цветение и созревание семян на 3-10 дней, увеличивают диаметр корзинки на 1,2-5,7 см, массу 1000 семян на 2-1О г, выход масла-до 10%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КУКУРУЗА: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  В последнее время хозяйства часто сами «дообрабатывают» заводские, готовые к посеву, семена инсектицидом. В эту предпосевную обработку можно внести Альбит и Лигногумат. Препараты обеспечивают высокий ростостимулирующий эффект, начиная с самых ранних стадий развития растения. Альбит и Лигногумат усиливают рост и развитие растений, повышают засухоустойчивость, снижают заболеваемость пузырчатой головней и гельминтоспориозом, повышают полевую всхожесть семян и результативность вегетативных обработок на 25-45%, что обеспечивает дополнительный прирост урожая в 2,0 - 5,0 ц/га.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  ЗЕРНОБОБОВЫЕ КУЛЬТУРЫ: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При высеве обработанных семян в грунт, Альбит и Лигногумат способствуют увеличению количества клубеньковых бактерий на 11-15,5%, усиливают обмен веществ в семенах, что приводит к быстрому разрушению ингибирующих веществ в семени и, как следствие, - увеличению всхожести, энергии прорастания семян и получению дружных и здоровых всходов. Обработка семян Альбитом и Лигногуматом в среднем обеспечивает 2,2 ц/га прироста урожая сои.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  КАРТОФЕЛЬ: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Обработка посевного материала стимулирует прорастание клубней, усиливает рост и развитие корневой системы, усиливает засухоустойчивость растений. Посадочный материал иммунизируется от ризоктониоза, альтернариоза, фитофтороза, парши обыкновенной. Увеличивается количество столонов, а значит и количество клубней под кустом картофеля, повышается выравненность клубней и выход товарной продукции.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  ГРЕЧИХА: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Предпосевная обработка семян имеет определяющее значение для этой культуры, как и для подсолнечника, а последующие обработки посевов могут усилить и дополнить её эффект. Альбит иммунизирует семя от почвенных инфекций и будущих болезней, Лигногумат обеспечивает ростостимулирующий эффект. Вместе препараты способствуют повышению урожайности, всхожести, ускоренному развитию корневой системы, увеличению массы 1000 зерен, массы семян с 1 растения, повышают засухоустойчивость.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  САХАРНАЯ СВЕКЛА: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  Обработка семян Альбитом и Лигногуматом защищает растения от корнееда, повышает всхожесть семян, дает мощный ростостимулирующий импульс на ранних этапах развития растений, на 3-10 дней ускоряет прохождение фенофаз (особенно в стадии «вилочка», - 3-4 пары листьев), увеличивает урожайность. Период защитного действия обработки семян Альбитом против корнееда составляет не менее 25 дней с момента появления всходов.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Предпосевная обработка семян рапса (до 10% прибавка урожая), сахарной свеклы (до 7% прибавка урожая), овощных, бахчевых и других культур имеет большое значение в повышении урожайности и качества продукции.</w:t>
      </w:r>
      <w:r>
        <w:rPr>
          <w:rFonts w:cs="Arial" w:ascii="Bookman Old Style" w:hAnsi="Bookman Old Style"/>
        </w:rPr>
        <w:br/>
      </w:r>
      <w:r>
        <w:rPr>
          <w:rStyle w:val="Font7"/>
          <w:rFonts w:cs="Arial" w:ascii="Bookman Old Style" w:hAnsi="Bookman Old Style"/>
        </w:rPr>
        <w:t>Однако в связи с большим распространением инкрустированных и дражированных семян в большинстве случаев проводиться не может. Поэтому ещё большее значение приобретают внекорневые обработки растений в период вегетации, особенно на ранних стадиях развития. В то же время ряд фирм и компаний, занимающихся дражированием семян, внесли Альбит и Лигногумат в состав смесей для дражирования семян.</w:t>
      </w:r>
      <w:r>
        <w:rPr>
          <w:rStyle w:val="Font0"/>
          <w:rFonts w:cs="Arial" w:ascii="Arial" w:hAnsi="Arial"/>
        </w:rPr>
        <w:t>​</w:t>
      </w:r>
    </w:p>
    <w:sectPr>
      <w:type w:val="nextPage"/>
      <w:pgSz w:w="11906" w:h="16838"/>
      <w:pgMar w:left="780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Bookman Old Style">
    <w:charset w:val="01"/>
    <w:family w:val="roman"/>
    <w:pitch w:val="variable"/>
  </w:font>
  <w:font w:name="Bookman Old Style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0f5e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0" w:customStyle="1">
    <w:name w:val="font_0"/>
    <w:basedOn w:val="DefaultParagraphFont"/>
    <w:qFormat/>
    <w:rsid w:val="00ea439a"/>
    <w:rPr/>
  </w:style>
  <w:style w:type="character" w:styleId="Color3" w:customStyle="1">
    <w:name w:val="color_3"/>
    <w:basedOn w:val="DefaultParagraphFont"/>
    <w:qFormat/>
    <w:rsid w:val="00ea439a"/>
    <w:rPr/>
  </w:style>
  <w:style w:type="character" w:styleId="Font7" w:customStyle="1">
    <w:name w:val="font_7"/>
    <w:basedOn w:val="DefaultParagraphFont"/>
    <w:qFormat/>
    <w:rsid w:val="00ea439a"/>
    <w:rPr/>
  </w:style>
  <w:style w:type="character" w:styleId="Style14">
    <w:name w:val="Интернет-ссылка"/>
    <w:rsid w:val="00ea439a"/>
    <w:rPr>
      <w:color w:val="0000FF"/>
      <w:u w:val="single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a439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Без интервала"/>
    <w:qFormat/>
    <w:pPr>
      <w:widowControl/>
      <w:suppressAutoHyphens w:val="true"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grovector@inbo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LibreOffice/5.2.0.4$Windows_X86_64 LibreOffice_project/066b007f5ebcc236395c7d282ba488bca6720265</Application>
  <Pages>3</Pages>
  <Words>564</Words>
  <Characters>3900</Characters>
  <CharactersWithSpaces>9599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2017-02-24T07:06:00Z</dcterms:created>
  <dc:creator>123</dc:creator>
  <dc:description/>
  <dc:language>ru-RU</dc:language>
  <cp:lastModifiedBy/>
  <cp:lastPrinted>2017-07-24T14:00:48Z</cp:lastPrinted>
  <dcterms:modified xsi:type="dcterms:W3CDTF">2018-11-19T19:54:47Z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